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73" w:beforeLines="600" w:line="600" w:lineRule="exact"/>
        <w:jc w:val="distribute"/>
        <w:textAlignment w:val="auto"/>
        <w:rPr>
          <w:rFonts w:hint="eastAsia" w:ascii="方正小标宋简体" w:hAnsi="方正小标宋简体" w:eastAsia="方正小标宋简体" w:cs="方正小标宋简体"/>
          <w:b w:val="0"/>
          <w:bCs w:val="0"/>
          <w:color w:val="FF0000"/>
          <w:spacing w:val="0"/>
          <w:w w:val="51"/>
          <w:sz w:val="140"/>
          <w:szCs w:val="140"/>
          <w:highlight w:val="none"/>
          <w:lang w:eastAsia="zh-CN"/>
        </w:rPr>
      </w:pPr>
      <w:r>
        <w:rPr>
          <w:rFonts w:hint="eastAsia" w:ascii="方正小标宋简体" w:hAnsi="方正小标宋简体" w:eastAsia="方正小标宋简体" w:cs="方正小标宋简体"/>
          <w:b w:val="0"/>
          <w:bCs w:val="0"/>
          <w:color w:val="FF0000"/>
          <w:spacing w:val="0"/>
          <w:w w:val="51"/>
          <w:sz w:val="140"/>
          <w:szCs w:val="140"/>
          <w:highlight w:val="none"/>
          <w:lang w:eastAsia="zh-CN"/>
        </w:rPr>
        <w:t>聊城市行政审批服务局文件</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w:t>
      </w:r>
    </w:p>
    <w:p>
      <w:pPr>
        <w:bidi w:val="0"/>
        <w:jc w:val="center"/>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聊行审字〔2020〕7号</w:t>
      </w:r>
    </w:p>
    <w:p>
      <w:pPr>
        <w:bidi w:val="0"/>
        <w:rPr>
          <w:rFonts w:hint="eastAsia"/>
          <w:lang w:val="en-US" w:eastAsia="zh-CN"/>
        </w:rPr>
      </w:pPr>
      <w:r>
        <w:rPr>
          <w:w w:val="51"/>
          <w:sz w:val="140"/>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25400</wp:posOffset>
                </wp:positionV>
                <wp:extent cx="5641340" cy="0"/>
                <wp:effectExtent l="0" t="9525" r="16510" b="9525"/>
                <wp:wrapNone/>
                <wp:docPr id="2" name="直接连接符 2"/>
                <wp:cNvGraphicFramePr/>
                <a:graphic xmlns:a="http://schemas.openxmlformats.org/drawingml/2006/main">
                  <a:graphicData uri="http://schemas.microsoft.com/office/word/2010/wordprocessingShape">
                    <wps:wsp>
                      <wps:cNvCnPr/>
                      <wps:spPr>
                        <a:xfrm>
                          <a:off x="970280" y="4404360"/>
                          <a:ext cx="56413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2pt;height:0pt;width:444.2pt;z-index:251659264;mso-width-relative:page;mso-height-relative:page;" filled="f" stroked="t" coordsize="21600,21600" o:gfxdata="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4DDq0QAAAAUBAAAPAAAAAAAAAAEAIAAAACIAAABkcnMvZG93bnJldi54bWxQSwECFAAUAAAA&#10;CACHTuJA5aayXfUBAAC9AwAADgAAAAAAAAABACAAAAAgAQAAZHJzL2Uyb0RvYy54bWxQSwUGAAAA&#10;AAYABgBZAQAAhwUAAAAA&#10;">
                <v:fill on="f" focussize="0,0"/>
                <v:stroke weight="1.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bookmarkStart w:id="0" w:name="_GoBack"/>
      <w:r>
        <w:rPr>
          <w:rFonts w:hint="eastAsia" w:ascii="方正小标宋简体" w:hAnsi="方正小标宋简体" w:eastAsia="方正小标宋简体" w:cs="方正小标宋简体"/>
          <w:spacing w:val="-11"/>
          <w:sz w:val="44"/>
          <w:szCs w:val="44"/>
          <w:lang w:eastAsia="zh-CN"/>
        </w:rPr>
        <w:t>关于印发《聊城市行政审批服务局行政审批服务档案立卷归档管理办法》的通知</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各科室、平台建维中心：</w:t>
      </w:r>
    </w:p>
    <w:p>
      <w:pPr>
        <w:keepNext w:val="0"/>
        <w:keepLines w:val="0"/>
        <w:pageBreakBefore w:val="0"/>
        <w:widowControl w:val="0"/>
        <w:kinsoku/>
        <w:wordWrap/>
        <w:overflowPunct/>
        <w:topLinePunct w:val="0"/>
        <w:autoSpaceDE/>
        <w:autoSpaceDN/>
        <w:bidi w:val="0"/>
        <w:adjustRightInd/>
        <w:snapToGrid/>
        <w:spacing w:line="640" w:lineRule="exact"/>
        <w:ind w:firstLine="596"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为进一步规范我局行政审批服务档案</w:t>
      </w:r>
      <w:r>
        <w:rPr>
          <w:rFonts w:hint="eastAsia" w:ascii="仿宋_GB2312" w:hAnsi="仿宋_GB2312" w:eastAsia="仿宋_GB2312" w:cs="仿宋_GB2312"/>
          <w:sz w:val="32"/>
          <w:szCs w:val="32"/>
        </w:rPr>
        <w:t>立卷归档工作</w:t>
      </w:r>
      <w:r>
        <w:rPr>
          <w:rFonts w:hint="eastAsia" w:ascii="仿宋_GB2312" w:hAnsi="仿宋_GB2312" w:eastAsia="仿宋_GB2312" w:cs="仿宋_GB2312"/>
          <w:sz w:val="32"/>
          <w:szCs w:val="32"/>
          <w:lang w:eastAsia="zh-CN"/>
        </w:rPr>
        <w:t>，在征求市委档案办、市档案馆意见后，对《聊城市行政审批服务局行政审批服务档案立卷归档管理办法》进行了修订，现印发给你们，请遵照执行。</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聊城市行政审批服务局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2020年5月6日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聊城</w:t>
      </w:r>
      <w:r>
        <w:rPr>
          <w:rFonts w:hint="eastAsia" w:ascii="方正小标宋简体" w:hAnsi="方正小标宋简体" w:eastAsia="方正小标宋简体" w:cs="方正小标宋简体"/>
          <w:sz w:val="44"/>
          <w:szCs w:val="44"/>
          <w:lang w:eastAsia="zh-CN"/>
        </w:rPr>
        <w:t>市行政审批服务局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行政审批</w:t>
      </w:r>
      <w:r>
        <w:rPr>
          <w:rFonts w:hint="eastAsia" w:ascii="方正小标宋简体" w:hAnsi="方正小标宋简体" w:eastAsia="方正小标宋简体" w:cs="方正小标宋简体"/>
          <w:sz w:val="44"/>
          <w:szCs w:val="44"/>
          <w:lang w:eastAsia="zh-CN"/>
        </w:rPr>
        <w:t>服务档案</w:t>
      </w:r>
      <w:r>
        <w:rPr>
          <w:rFonts w:hint="eastAsia" w:ascii="方正小标宋简体" w:hAnsi="方正小标宋简体" w:eastAsia="方正小标宋简体" w:cs="方正小标宋简体"/>
          <w:sz w:val="44"/>
          <w:szCs w:val="44"/>
        </w:rPr>
        <w:t>立卷归档管理办法</w:t>
      </w:r>
    </w:p>
    <w:p>
      <w:pPr>
        <w:keepNext w:val="0"/>
        <w:keepLines w:val="0"/>
        <w:pageBreakBefore w:val="0"/>
        <w:widowControl w:val="0"/>
        <w:kinsoku/>
        <w:wordWrap/>
        <w:overflowPunct/>
        <w:topLinePunct w:val="0"/>
        <w:autoSpaceDE/>
        <w:autoSpaceDN/>
        <w:bidi w:val="0"/>
        <w:adjustRightInd/>
        <w:snapToGrid/>
        <w:spacing w:before="469" w:beforeLines="1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实施过程中形成的</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档案进行收集、整理和管理，规范行政审批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行为，有效保护和利用档案，根据《中华人民共和国行政许可法》、《中华人民共和国档案法》</w:t>
      </w:r>
      <w:r>
        <w:rPr>
          <w:rFonts w:hint="eastAsia" w:ascii="仿宋_GB2312" w:hAnsi="仿宋_GB2312" w:eastAsia="仿宋_GB2312" w:cs="仿宋_GB2312"/>
          <w:sz w:val="32"/>
          <w:szCs w:val="32"/>
          <w:lang w:eastAsia="zh-CN"/>
        </w:rPr>
        <w:t>、《中华人民共和国保守国家秘密法》和</w:t>
      </w:r>
      <w:r>
        <w:rPr>
          <w:rFonts w:hint="eastAsia" w:ascii="仿宋_GB2312" w:hAnsi="仿宋_GB2312" w:eastAsia="仿宋_GB2312" w:cs="仿宋_GB2312"/>
          <w:sz w:val="32"/>
          <w:szCs w:val="32"/>
          <w:u w:val="none"/>
          <w:lang w:eastAsia="zh-CN"/>
        </w:rPr>
        <w:t>《山东省行政许可档案管理办法》</w:t>
      </w:r>
      <w:r>
        <w:rPr>
          <w:rFonts w:hint="eastAsia" w:ascii="仿宋_GB2312" w:hAnsi="仿宋_GB2312" w:eastAsia="仿宋_GB2312" w:cs="仿宋_GB2312"/>
          <w:sz w:val="32"/>
          <w:szCs w:val="32"/>
        </w:rPr>
        <w:t>有关规定，结合工作实际，制定本办法。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市行政审批局</w:t>
      </w:r>
      <w:r>
        <w:rPr>
          <w:rFonts w:hint="eastAsia" w:ascii="仿宋_GB2312" w:hAnsi="仿宋_GB2312" w:eastAsia="仿宋_GB2312" w:cs="仿宋_GB2312"/>
          <w:sz w:val="32"/>
          <w:szCs w:val="32"/>
        </w:rPr>
        <w:t>实施的行政审批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事</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立卷归档工作，适用本办法。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归档内容和要求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Style w:val="5"/>
          <w:rFonts w:hint="eastAsia" w:ascii="楷体_GB2312" w:hAnsi="楷体_GB2312" w:eastAsia="楷体_GB2312" w:cs="楷体_GB2312"/>
          <w:b w:val="0"/>
          <w:bCs/>
          <w:kern w:val="0"/>
          <w:sz w:val="32"/>
          <w:szCs w:val="32"/>
          <w:lang w:val="en-US" w:eastAsia="zh-CN" w:bidi="ar"/>
        </w:rPr>
        <w:t>第三条</w:t>
      </w:r>
      <w:r>
        <w:rPr>
          <w:rFonts w:hint="eastAsia" w:ascii="仿宋_GB2312" w:hAnsi="仿宋_GB2312" w:eastAsia="仿宋_GB2312" w:cs="仿宋_GB2312"/>
          <w:sz w:val="32"/>
          <w:szCs w:val="32"/>
          <w:lang w:val="en-US" w:eastAsia="zh-CN"/>
        </w:rPr>
        <w:t xml:space="preserve">  行政审批服务档案应齐全、完整，已破损的申报材料应予修复，字迹模糊或易退色的文件应予复制，所使用的书面材料、纸张等应符合档案保存要求。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Style w:val="5"/>
          <w:rFonts w:hint="eastAsia" w:ascii="楷体_GB2312" w:hAnsi="楷体_GB2312" w:eastAsia="楷体_GB2312" w:cs="楷体_GB2312"/>
          <w:b w:val="0"/>
          <w:bCs/>
          <w:kern w:val="0"/>
          <w:sz w:val="32"/>
          <w:szCs w:val="32"/>
          <w:lang w:val="en-US" w:eastAsia="zh-CN" w:bidi="ar"/>
        </w:rPr>
        <w:t>第四条</w:t>
      </w:r>
      <w:r>
        <w:rPr>
          <w:rFonts w:hint="eastAsia" w:ascii="仿宋_GB2312" w:hAnsi="仿宋_GB2312" w:eastAsia="仿宋_GB2312" w:cs="仿宋_GB2312"/>
          <w:sz w:val="32"/>
          <w:szCs w:val="32"/>
          <w:lang w:val="en-US" w:eastAsia="zh-CN"/>
        </w:rPr>
        <w:t xml:space="preserve">  归档内容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（一）行政机关实施行政许可过程中直接形成的书面文字材料，如申请表、审批流转单、受理通知书、现场勘察笔录、整改意见书、现场审核表、现场验收报告、听证记录及许可证正本存根等。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（二）申请人依法应提交的所有文字、图表和照片等材料。如营业执照、负责人身份证明材料、彩色效果图、安全检测报告、规划许可文件、法规要求上报文件等。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（三）法律法规规定的其他材料。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Style w:val="5"/>
          <w:rFonts w:hint="eastAsia" w:ascii="楷体_GB2312" w:hAnsi="楷体_GB2312" w:eastAsia="楷体_GB2312" w:cs="楷体_GB2312"/>
          <w:b w:val="0"/>
          <w:bCs/>
          <w:kern w:val="0"/>
          <w:sz w:val="32"/>
          <w:szCs w:val="32"/>
          <w:lang w:val="en-US" w:eastAsia="zh-CN" w:bidi="ar"/>
        </w:rPr>
        <w:t>第五条</w:t>
      </w:r>
      <w:r>
        <w:rPr>
          <w:rFonts w:hint="eastAsia" w:ascii="仿宋_GB2312" w:hAnsi="仿宋_GB2312" w:eastAsia="仿宋_GB2312" w:cs="仿宋_GB2312"/>
          <w:sz w:val="32"/>
          <w:szCs w:val="32"/>
          <w:lang w:val="en-US" w:eastAsia="zh-CN"/>
        </w:rPr>
        <w:t xml:space="preserve">  归档要求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卷内文书应当使用钢笔、签字笔</w:t>
      </w:r>
      <w:r>
        <w:rPr>
          <w:rFonts w:hint="eastAsia" w:ascii="仿宋_GB2312" w:hAnsi="仿宋_GB2312" w:eastAsia="仿宋_GB2312" w:cs="仿宋_GB2312"/>
          <w:sz w:val="32"/>
          <w:szCs w:val="32"/>
          <w:lang w:eastAsia="zh-CN"/>
        </w:rPr>
        <w:t>等宜于长期留痕的工具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人提供的材料使用铅笔或圆珠笔的，应复印一份，连同原件一同入卷。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结果关系到申请人或其他利害关系人的人身、财产权益时，卷内材料为复印件的，应与原件核对后加盖“与原件核对无误”印章或由原件持有者签注“与原件核对无误”。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（三）申请材料中同一项目内容的填写应前后一致，不得自相矛盾。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（四）申请材料中不得使用不利于档案保存的材料，如热敏纸传真件等，字迹耐久性差的须复印后上报。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（五）行政审批服务档案标准纸型为A4规格纸张，小于A4纸张的材料(如照片、标签等)需粘贴在A4纸的右上方，大于A4纸的材料(如图纸、营业执照复印件等) 需折叠为A4纸大小，要尽量减少折叠次数，折叠处应尽量位于文件和图表字迹之外，如文件较多时，宜单张折叠，以便查阅。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（六）申请材料中所有外文材料（包括产品、生产企业和申请单位名称）的，应译为规范的中文，并将译文附在相应的外文之后。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（七）申请人提交检测报告，应为具备相应检测资质的技术服务机构出具。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（八）申请人提供的各项申请材料应在正文上方加注标题，内容较多时应加封皮说明，各种平面布局图应在右上方标明方向坐标。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（九）申请人提供的证明材料中不是单份文件时，应将同一内容文件按“正文在前，附件在后；转发文在前，被转发文在后；复文在前，来文在后；批复在前，请示在后”的顺序排列。</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立卷归档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服务档案</w:t>
      </w:r>
      <w:r>
        <w:rPr>
          <w:rFonts w:hint="eastAsia" w:ascii="仿宋_GB2312" w:hAnsi="仿宋_GB2312" w:eastAsia="仿宋_GB2312" w:cs="仿宋_GB2312"/>
          <w:sz w:val="32"/>
          <w:szCs w:val="32"/>
        </w:rPr>
        <w:t>应当分类归档，实行一案一卷、一卷一号制度。涉及国家秘密、商业秘密和个人隐私的，可以实行一案二卷，分正卷和副卷。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 xml:space="preserve">第七条  </w:t>
      </w:r>
      <w:r>
        <w:rPr>
          <w:rFonts w:hint="eastAsia" w:ascii="仿宋_GB2312" w:hAnsi="仿宋_GB2312" w:eastAsia="仿宋_GB2312" w:cs="仿宋_GB2312"/>
          <w:sz w:val="32"/>
          <w:szCs w:val="32"/>
        </w:rPr>
        <w:t>当场作出行政审批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决定的事项或者归档文件材料较少的，可以合并组卷，组卷的数量</w:t>
      </w:r>
      <w:r>
        <w:rPr>
          <w:rFonts w:hint="eastAsia" w:ascii="仿宋_GB2312" w:hAnsi="仿宋_GB2312" w:eastAsia="仿宋_GB2312" w:cs="仿宋_GB2312"/>
          <w:sz w:val="32"/>
          <w:szCs w:val="32"/>
          <w:lang w:eastAsia="zh-CN"/>
        </w:rPr>
        <w:t>由各科室</w:t>
      </w:r>
      <w:r>
        <w:rPr>
          <w:rFonts w:hint="eastAsia" w:ascii="仿宋_GB2312" w:hAnsi="仿宋_GB2312" w:eastAsia="仿宋_GB2312" w:cs="仿宋_GB2312"/>
          <w:sz w:val="32"/>
          <w:szCs w:val="32"/>
        </w:rPr>
        <w:t>根据实际情况确定。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合并组卷的，应按照</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事项分别整理，并依据办结时间的自然顺序进行排列；同一行政审批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事项中，可以按新申领、变更、延续、补办、不予办理等情形分类并按顺序号进行整理归档，也可以不再分类直接按办结时间顺序编号。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ascii="仿宋_GB2312" w:hAnsi="宋体" w:eastAsia="仿宋_GB2312" w:cs="仿宋_GB2312"/>
          <w:i w:val="0"/>
          <w:caps w:val="0"/>
          <w:color w:val="000000"/>
          <w:spacing w:val="0"/>
          <w:sz w:val="32"/>
          <w:szCs w:val="32"/>
          <w:shd w:val="clear" w:fill="FFFFFF"/>
        </w:rPr>
        <w:t>立卷归档要遵循档案形成规律和特点，保持文件之间的有机联系，体现动态管理过程，便于保管和利用</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sz w:val="32"/>
          <w:szCs w:val="32"/>
        </w:rPr>
        <w:t>行政许可档案可按以下顺序排列：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（一）卷内文件目录；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决定书、审批</w:t>
      </w:r>
      <w:r>
        <w:rPr>
          <w:rFonts w:hint="eastAsia" w:ascii="仿宋_GB2312" w:hAnsi="仿宋_GB2312" w:eastAsia="仿宋_GB2312" w:cs="仿宋_GB2312"/>
          <w:sz w:val="32"/>
          <w:szCs w:val="32"/>
          <w:lang w:eastAsia="zh-CN"/>
        </w:rPr>
        <w:t>流转</w:t>
      </w:r>
      <w:r>
        <w:rPr>
          <w:rFonts w:hint="eastAsia" w:ascii="仿宋_GB2312" w:hAnsi="仿宋_GB2312" w:eastAsia="仿宋_GB2312" w:cs="仿宋_GB2312"/>
          <w:sz w:val="32"/>
          <w:szCs w:val="32"/>
        </w:rPr>
        <w:t>表和许可证（批）件复印件；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eastAsia="zh-CN"/>
        </w:rPr>
        <w:t>过程中</w:t>
      </w:r>
      <w:r>
        <w:rPr>
          <w:rFonts w:hint="eastAsia" w:ascii="仿宋_GB2312" w:hAnsi="仿宋_GB2312" w:eastAsia="仿宋_GB2312" w:cs="仿宋_GB2312"/>
          <w:sz w:val="32"/>
          <w:szCs w:val="32"/>
        </w:rPr>
        <w:t>形成的、以及收集的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书面材料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包括检查（勘</w:t>
      </w:r>
      <w:r>
        <w:rPr>
          <w:rFonts w:hint="eastAsia" w:ascii="仿宋_GB2312" w:hAnsi="仿宋_GB2312" w:eastAsia="仿宋_GB2312" w:cs="仿宋_GB2312"/>
          <w:sz w:val="32"/>
          <w:szCs w:val="32"/>
          <w:lang w:eastAsia="zh-CN"/>
        </w:rPr>
        <w:t>察、评审</w:t>
      </w:r>
      <w:r>
        <w:rPr>
          <w:rFonts w:hint="eastAsia" w:ascii="仿宋_GB2312" w:hAnsi="仿宋_GB2312" w:eastAsia="仿宋_GB2312" w:cs="仿宋_GB2312"/>
          <w:sz w:val="32"/>
          <w:szCs w:val="32"/>
        </w:rPr>
        <w:t>）笔录、</w:t>
      </w:r>
      <w:r>
        <w:rPr>
          <w:rFonts w:hint="eastAsia" w:ascii="仿宋_GB2312" w:hAnsi="仿宋_GB2312" w:eastAsia="仿宋_GB2312" w:cs="仿宋_GB2312"/>
          <w:sz w:val="32"/>
          <w:szCs w:val="32"/>
          <w:lang w:eastAsia="zh-CN"/>
        </w:rPr>
        <w:t>整改意见书、</w:t>
      </w:r>
      <w:r>
        <w:rPr>
          <w:rFonts w:hint="eastAsia" w:ascii="仿宋_GB2312" w:hAnsi="仿宋_GB2312" w:eastAsia="仿宋_GB2312" w:cs="仿宋_GB2312"/>
          <w:sz w:val="32"/>
          <w:szCs w:val="32"/>
        </w:rPr>
        <w:t>公示文书、专家评审资料、</w:t>
      </w:r>
      <w:r>
        <w:rPr>
          <w:rFonts w:hint="eastAsia" w:ascii="仿宋_GB2312" w:hAnsi="仿宋_GB2312" w:eastAsia="仿宋_GB2312" w:cs="仿宋_GB2312"/>
          <w:sz w:val="32"/>
          <w:szCs w:val="32"/>
          <w:lang w:eastAsia="zh-CN"/>
        </w:rPr>
        <w:t>现场验收报告、</w:t>
      </w:r>
      <w:r>
        <w:rPr>
          <w:rFonts w:hint="eastAsia" w:ascii="仿宋_GB2312" w:hAnsi="仿宋_GB2312" w:eastAsia="仿宋_GB2312" w:cs="仿宋_GB2312"/>
          <w:sz w:val="32"/>
          <w:szCs w:val="32"/>
        </w:rPr>
        <w:t>准予（不予）行政审批（延续、变更）决定书或批复、撤回（撤销、注销）决定书等；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补齐</w:t>
      </w:r>
      <w:r>
        <w:rPr>
          <w:rFonts w:hint="eastAsia" w:ascii="仿宋_GB2312" w:hAnsi="仿宋_GB2312" w:eastAsia="仿宋_GB2312" w:cs="仿宋_GB2312"/>
          <w:sz w:val="32"/>
          <w:szCs w:val="32"/>
        </w:rPr>
        <w:t>补正告知书、受理或不予受理</w:t>
      </w:r>
      <w:r>
        <w:rPr>
          <w:rFonts w:hint="eastAsia" w:ascii="仿宋_GB2312" w:hAnsi="仿宋_GB2312" w:eastAsia="仿宋_GB2312" w:cs="仿宋_GB2312"/>
          <w:sz w:val="32"/>
          <w:szCs w:val="32"/>
          <w:lang w:eastAsia="zh-CN"/>
        </w:rPr>
        <w:t>通知书、</w:t>
      </w:r>
      <w:r>
        <w:rPr>
          <w:rFonts w:hint="eastAsia" w:ascii="仿宋_GB2312" w:hAnsi="仿宋_GB2312" w:eastAsia="仿宋_GB2312" w:cs="仿宋_GB2312"/>
          <w:sz w:val="32"/>
          <w:szCs w:val="32"/>
        </w:rPr>
        <w:t>一次性告知材料等。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）听证材料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包括听证告知书、申请书、通知书、公告、笔录等；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）延期办理和批复文书；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）申请人提交的申请材料：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申请表</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申请报告；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申请人及委托代理人的身份证明、委托书；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营业执照或企业名称核准材料；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经营场所有效使用证明（租赁合同、房产证等）；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经营场所地理位置图、平面图、施工图等；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从业人员一览表及资质证明等；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管理组织机构及制度；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其他材料（检测报告等）。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（八）备考表。卷内备考表内容应包括：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1.本卷情况说明：说明卷内文件的件数、页数、不同载体文件的数量，缺损、修改、补充、移出、销毁、组卷等情况；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2.立卷人：由责任立卷者签署；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3.检查人：由档案质量审核者签署；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4.立卷时间：完成档案立卷的日期。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 xml:space="preserve">第九条  </w:t>
      </w:r>
      <w:r>
        <w:rPr>
          <w:rFonts w:hint="eastAsia" w:ascii="仿宋_GB2312" w:hAnsi="仿宋_GB2312" w:eastAsia="仿宋_GB2312" w:cs="仿宋_GB2312"/>
          <w:sz w:val="32"/>
          <w:szCs w:val="32"/>
        </w:rPr>
        <w:t>在许可</w:t>
      </w:r>
      <w:r>
        <w:rPr>
          <w:rFonts w:hint="eastAsia" w:ascii="仿宋_GB2312" w:hAnsi="仿宋_GB2312" w:eastAsia="仿宋_GB2312" w:cs="仿宋_GB2312"/>
          <w:sz w:val="32"/>
          <w:szCs w:val="32"/>
          <w:lang w:eastAsia="zh-CN"/>
        </w:rPr>
        <w:t>审批服务</w:t>
      </w:r>
      <w:r>
        <w:rPr>
          <w:rFonts w:hint="eastAsia" w:ascii="仿宋_GB2312" w:hAnsi="仿宋_GB2312" w:eastAsia="仿宋_GB2312" w:cs="仿宋_GB2312"/>
          <w:sz w:val="32"/>
          <w:szCs w:val="32"/>
        </w:rPr>
        <w:t>证件（批件）使用期内，年审复核、变更等材料</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归入该许可证使用周期申办的档案内</w:t>
      </w:r>
      <w:r>
        <w:rPr>
          <w:rFonts w:hint="eastAsia" w:ascii="仿宋_GB2312" w:hAnsi="仿宋_GB2312" w:eastAsia="仿宋_GB2312" w:cs="仿宋_GB2312"/>
          <w:sz w:val="32"/>
          <w:szCs w:val="32"/>
          <w:lang w:eastAsia="zh-CN"/>
        </w:rPr>
        <w:t>，也可以按许可审批服务事项单独立卷</w:t>
      </w:r>
      <w:r>
        <w:rPr>
          <w:rFonts w:hint="eastAsia" w:ascii="仿宋_GB2312" w:hAnsi="仿宋_GB2312" w:eastAsia="仿宋_GB2312" w:cs="仿宋_GB2312"/>
          <w:sz w:val="32"/>
          <w:szCs w:val="32"/>
        </w:rPr>
        <w:t>；许可</w:t>
      </w:r>
      <w:r>
        <w:rPr>
          <w:rFonts w:hint="eastAsia" w:ascii="仿宋_GB2312" w:hAnsi="仿宋_GB2312" w:eastAsia="仿宋_GB2312" w:cs="仿宋_GB2312"/>
          <w:sz w:val="32"/>
          <w:szCs w:val="32"/>
          <w:lang w:eastAsia="zh-CN"/>
        </w:rPr>
        <w:t>审批服务</w:t>
      </w:r>
      <w:r>
        <w:rPr>
          <w:rFonts w:hint="eastAsia" w:ascii="仿宋_GB2312" w:hAnsi="仿宋_GB2312" w:eastAsia="仿宋_GB2312" w:cs="仿宋_GB2312"/>
          <w:sz w:val="32"/>
          <w:szCs w:val="32"/>
        </w:rPr>
        <w:t>证件（批件）到期换发的申请材料立新卷。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服务档案</w:t>
      </w:r>
      <w:r>
        <w:rPr>
          <w:rFonts w:hint="eastAsia" w:ascii="仿宋_GB2312" w:hAnsi="仿宋_GB2312" w:eastAsia="仿宋_GB2312" w:cs="仿宋_GB2312"/>
          <w:sz w:val="32"/>
          <w:szCs w:val="32"/>
        </w:rPr>
        <w:t>封面使用统一规定的卷宗封面，</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装订无金属物。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 xml:space="preserve">第十一条  </w:t>
      </w:r>
      <w:r>
        <w:rPr>
          <w:rFonts w:hint="eastAsia" w:ascii="仿宋_GB2312" w:hAnsi="仿宋_GB2312" w:eastAsia="仿宋_GB2312" w:cs="仿宋_GB2312"/>
          <w:sz w:val="32"/>
          <w:szCs w:val="32"/>
          <w:lang w:val="en-US" w:eastAsia="zh-CN"/>
        </w:rPr>
        <w:t>卷内文件有图文的页面均应编写页号，页号编写位置：单面书写文件在右上角；双面书写文件，正面在右上角，背面在左上角。各分卷之间不连续编号，</w:t>
      </w:r>
      <w:r>
        <w:rPr>
          <w:rFonts w:hint="eastAsia" w:ascii="仿宋_GB2312" w:hAnsi="仿宋_GB2312" w:eastAsia="仿宋_GB2312" w:cs="仿宋_GB2312"/>
          <w:sz w:val="32"/>
          <w:szCs w:val="32"/>
        </w:rPr>
        <w:t>空白页不编号</w:t>
      </w:r>
      <w:r>
        <w:rPr>
          <w:rFonts w:hint="eastAsia" w:ascii="仿宋_GB2312" w:hAnsi="仿宋_GB2312" w:eastAsia="仿宋_GB2312" w:cs="仿宋_GB2312"/>
          <w:sz w:val="32"/>
          <w:szCs w:val="32"/>
          <w:lang w:val="en-US" w:eastAsia="zh-CN"/>
        </w:rPr>
        <w:t>。页号用铅笔以阿拉伯数字编写。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Style w:val="5"/>
          <w:rFonts w:hint="eastAsia" w:ascii="楷体_GB2312" w:hAnsi="楷体_GB2312" w:eastAsia="楷体_GB2312" w:cs="楷体_GB2312"/>
          <w:b w:val="0"/>
          <w:bCs/>
          <w:kern w:val="0"/>
          <w:sz w:val="32"/>
          <w:szCs w:val="32"/>
          <w:lang w:val="en-US" w:eastAsia="zh-CN" w:bidi="ar"/>
        </w:rPr>
        <w:t xml:space="preserve">第十二条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行政审批服务档案应编号，编号规则执行</w:t>
      </w:r>
      <w:r>
        <w:rPr>
          <w:rFonts w:hint="eastAsia" w:ascii="仿宋_GB2312" w:hAnsi="仿宋_GB2312" w:eastAsia="仿宋_GB2312" w:cs="仿宋_GB2312"/>
          <w:sz w:val="32"/>
          <w:szCs w:val="32"/>
          <w:u w:val="none"/>
          <w:lang w:eastAsia="zh-CN"/>
        </w:rPr>
        <w:t>《山东省行政许可档案管理办法》第十四条规定，具体如下：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行政审批服务档案编号：全宗</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color w:val="auto"/>
          <w:sz w:val="32"/>
          <w:szCs w:val="32"/>
          <w:highlight w:val="none"/>
          <w:lang w:eastAsia="zh-CN"/>
        </w:rPr>
        <w:t>目录号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案卷号。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1.全宗号：按市档案馆给定的全宗代码“</w:t>
      </w:r>
      <w:r>
        <w:rPr>
          <w:rFonts w:hint="eastAsia" w:ascii="仿宋_GB2312" w:hAnsi="仿宋_GB2312" w:eastAsia="仿宋_GB2312" w:cs="仿宋_GB2312"/>
          <w:sz w:val="32"/>
          <w:szCs w:val="32"/>
          <w:lang w:val="en-US" w:eastAsia="zh-CN"/>
        </w:rPr>
        <w:t>0234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2.目录号：由档案类别</w:t>
      </w:r>
      <w:r>
        <w:rPr>
          <w:rFonts w:hint="eastAsia" w:ascii="仿宋_GB2312" w:hAnsi="仿宋_GB2312" w:eastAsia="仿宋_GB2312" w:cs="仿宋_GB2312"/>
          <w:sz w:val="32"/>
          <w:szCs w:val="32"/>
          <w:highlight w:val="none"/>
          <w:lang w:val="en-US" w:eastAsia="zh-CN"/>
        </w:rPr>
        <w:t>·科室代码·科室事项代码·年份组成，</w:t>
      </w:r>
      <w:r>
        <w:rPr>
          <w:rFonts w:hint="eastAsia" w:ascii="仿宋_GB2312" w:hAnsi="仿宋_GB2312" w:eastAsia="仿宋_GB2312" w:cs="仿宋_GB2312"/>
          <w:sz w:val="32"/>
          <w:szCs w:val="32"/>
          <w:highlight w:val="none"/>
          <w:lang w:eastAsia="zh-CN"/>
        </w:rPr>
        <w:t>示例：“</w:t>
      </w:r>
      <w:r>
        <w:rPr>
          <w:rFonts w:hint="eastAsia" w:ascii="仿宋_GB2312" w:hAnsi="仿宋_GB2312" w:eastAsia="仿宋_GB2312" w:cs="仿宋_GB2312"/>
          <w:sz w:val="32"/>
          <w:szCs w:val="32"/>
          <w:highlight w:val="none"/>
          <w:lang w:val="en-US" w:eastAsia="zh-CN"/>
        </w:rPr>
        <w:t>SCZR（科室代码）·XK（许可档案）·01（科室某事项代码）·2020（年份）</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.案卷号：本年度此类事项发生的数量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Style w:val="5"/>
          <w:rFonts w:hint="eastAsia" w:ascii="楷体_GB2312" w:hAnsi="楷体_GB2312" w:eastAsia="楷体_GB2312" w:cs="楷体_GB2312"/>
          <w:b w:val="0"/>
          <w:bCs/>
          <w:kern w:val="0"/>
          <w:sz w:val="32"/>
          <w:szCs w:val="32"/>
          <w:lang w:val="en-US" w:eastAsia="zh-CN" w:bidi="ar"/>
        </w:rPr>
        <w:t xml:space="preserve">第十三条  </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服务档案</w:t>
      </w:r>
      <w:r>
        <w:rPr>
          <w:rFonts w:hint="eastAsia" w:ascii="仿宋_GB2312" w:hAnsi="仿宋_GB2312" w:eastAsia="仿宋_GB2312" w:cs="仿宋_GB2312"/>
          <w:sz w:val="32"/>
          <w:szCs w:val="32"/>
        </w:rPr>
        <w:t>归档文件材料较多时，可以一案多卷，但应当使用分卷号予以区别，格式为：</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编号+（序号）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Style w:val="5"/>
          <w:rFonts w:hint="eastAsia" w:ascii="楷体_GB2312" w:hAnsi="楷体_GB2312" w:eastAsia="楷体_GB2312" w:cs="楷体_GB2312"/>
          <w:b w:val="0"/>
          <w:bCs/>
          <w:kern w:val="0"/>
          <w:sz w:val="32"/>
          <w:szCs w:val="32"/>
          <w:lang w:val="en-US" w:eastAsia="zh-CN" w:bidi="ar"/>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u w:val="none"/>
          <w:lang w:val="en-US" w:eastAsia="zh-CN"/>
        </w:rPr>
        <w:t>对于业务发生量较大、档案资料较多的科室，可申请购买服务协助整理归档。</w:t>
      </w:r>
      <w:r>
        <w:rPr>
          <w:rFonts w:hint="eastAsia" w:ascii="仿宋_GB2312" w:hAnsi="仿宋_GB2312" w:eastAsia="仿宋_GB2312" w:cs="仿宋_GB2312"/>
          <w:b w:val="0"/>
          <w:bCs w:val="0"/>
          <w:sz w:val="32"/>
          <w:szCs w:val="32"/>
          <w:highlight w:val="none"/>
          <w:u w:val="none"/>
          <w:lang w:val="en-US" w:eastAsia="zh-CN"/>
        </w:rPr>
        <w:t>购买服务费用应提前编制预算，纳入部门预算管理后实施。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档案的保管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Style w:val="5"/>
          <w:rFonts w:hint="eastAsia" w:ascii="楷体_GB2312" w:hAnsi="楷体_GB2312" w:eastAsia="楷体_GB2312" w:cs="楷体_GB2312"/>
          <w:b w:val="0"/>
          <w:bCs/>
          <w:kern w:val="0"/>
          <w:sz w:val="32"/>
          <w:szCs w:val="32"/>
          <w:lang w:val="en-US" w:eastAsia="zh-CN" w:bidi="ar"/>
        </w:rPr>
        <w:t>第十五条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行政审批局应开辟专门场所用于审批服务档案的保管。办公室负责提供符合档案保管要求的场所；政务服务管理科负责统筹协调审批服务档案管理和利用工作，根据审批科室档案情况分配档案保管场地。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eastAsia="zh-CN"/>
        </w:rPr>
        <w:t>须明确专人负责</w:t>
      </w:r>
      <w:r>
        <w:rPr>
          <w:rFonts w:hint="eastAsia" w:ascii="仿宋_GB2312" w:hAnsi="仿宋_GB2312" w:eastAsia="仿宋_GB2312" w:cs="仿宋_GB2312"/>
          <w:sz w:val="32"/>
          <w:szCs w:val="32"/>
        </w:rPr>
        <w:t>归档文件保管</w:t>
      </w:r>
      <w:r>
        <w:rPr>
          <w:rFonts w:hint="eastAsia" w:ascii="仿宋_GB2312" w:hAnsi="仿宋_GB2312" w:eastAsia="仿宋_GB2312" w:cs="仿宋_GB2312"/>
          <w:sz w:val="32"/>
          <w:szCs w:val="32"/>
          <w:lang w:eastAsia="zh-CN"/>
        </w:rPr>
        <w:t>、调用和向有关部门移交等登记工作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第十七条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各行政审批业务</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应当在行政审批事项办结后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个月内对</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按档案整理要求</w:t>
      </w:r>
      <w:r>
        <w:rPr>
          <w:rFonts w:hint="eastAsia" w:ascii="仿宋_GB2312" w:hAnsi="仿宋_GB2312" w:eastAsia="仿宋_GB2312" w:cs="仿宋_GB2312"/>
          <w:sz w:val="32"/>
          <w:szCs w:val="32"/>
        </w:rPr>
        <w:t>进行归档，每月向</w:t>
      </w:r>
      <w:r>
        <w:rPr>
          <w:rFonts w:hint="eastAsia" w:ascii="仿宋_GB2312" w:hAnsi="仿宋_GB2312" w:eastAsia="仿宋_GB2312" w:cs="仿宋_GB2312"/>
          <w:sz w:val="32"/>
          <w:szCs w:val="32"/>
          <w:lang w:eastAsia="zh-CN"/>
        </w:rPr>
        <w:t>档案保管员</w:t>
      </w:r>
      <w:r>
        <w:rPr>
          <w:rFonts w:hint="eastAsia" w:ascii="仿宋_GB2312" w:hAnsi="仿宋_GB2312" w:eastAsia="仿宋_GB2312" w:cs="仿宋_GB2312"/>
          <w:sz w:val="32"/>
          <w:szCs w:val="32"/>
        </w:rPr>
        <w:t>进行移交。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Style w:val="5"/>
          <w:rFonts w:hint="eastAsia" w:ascii="楷体_GB2312" w:hAnsi="楷体_GB2312" w:eastAsia="楷体_GB2312" w:cs="楷体_GB2312"/>
          <w:b w:val="0"/>
          <w:bCs/>
          <w:kern w:val="0"/>
          <w:sz w:val="32"/>
          <w:szCs w:val="32"/>
          <w:lang w:val="en-US" w:eastAsia="zh-CN" w:bidi="ar"/>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行政审批服务档案应建立借阅登记制度，严格按要求履行登记手续，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 xml:space="preserve">第十九条  </w:t>
      </w:r>
      <w:r>
        <w:rPr>
          <w:rFonts w:hint="eastAsia" w:ascii="仿宋_GB2312" w:hAnsi="仿宋_GB2312" w:eastAsia="仿宋_GB2312" w:cs="仿宋_GB2312"/>
          <w:sz w:val="32"/>
          <w:szCs w:val="32"/>
          <w:lang w:eastAsia="zh-CN"/>
        </w:rPr>
        <w:t>借阅</w:t>
      </w:r>
      <w:r>
        <w:rPr>
          <w:rFonts w:hint="eastAsia" w:ascii="仿宋_GB2312" w:hAnsi="仿宋_GB2312" w:eastAsia="仿宋_GB2312" w:cs="仿宋_GB2312"/>
          <w:sz w:val="32"/>
          <w:szCs w:val="32"/>
        </w:rPr>
        <w:t>中不得在档案资料上加注、勾划、涂改、折迭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未经允许不得擅自复制、公布档案资料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确因工作需要复制、公布档案资料的，须经</w:t>
      </w:r>
      <w:r>
        <w:rPr>
          <w:rFonts w:hint="eastAsia" w:ascii="仿宋_GB2312" w:hAnsi="仿宋_GB2312" w:eastAsia="仿宋_GB2312" w:cs="仿宋_GB2312"/>
          <w:sz w:val="32"/>
          <w:szCs w:val="32"/>
          <w:lang w:eastAsia="zh-CN"/>
        </w:rPr>
        <w:t>单位主要负责人</w:t>
      </w:r>
      <w:r>
        <w:rPr>
          <w:rFonts w:hint="eastAsia" w:ascii="仿宋_GB2312" w:hAnsi="仿宋_GB2312" w:eastAsia="仿宋_GB2312" w:cs="仿宋_GB2312"/>
          <w:sz w:val="32"/>
          <w:szCs w:val="32"/>
        </w:rPr>
        <w:t>批准。</w:t>
      </w:r>
      <w:r>
        <w:rPr>
          <w:rStyle w:val="5"/>
          <w:rFonts w:hint="eastAsia" w:ascii="楷体_GB2312" w:hAnsi="楷体_GB2312" w:eastAsia="楷体_GB2312" w:cs="楷体_GB2312"/>
          <w:b w:val="0"/>
          <w:bCs/>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_GB2312"/>
          <w:i w:val="0"/>
          <w:caps w:val="0"/>
          <w:color w:val="000000"/>
          <w:spacing w:val="0"/>
          <w:sz w:val="32"/>
          <w:szCs w:val="32"/>
          <w:shd w:val="clear" w:fill="FFFFFF"/>
        </w:rPr>
      </w:pPr>
      <w:r>
        <w:rPr>
          <w:rStyle w:val="5"/>
          <w:rFonts w:hint="eastAsia" w:ascii="楷体_GB2312" w:hAnsi="楷体_GB2312" w:eastAsia="楷体_GB2312" w:cs="楷体_GB2312"/>
          <w:b w:val="0"/>
          <w:bCs/>
          <w:kern w:val="0"/>
          <w:sz w:val="32"/>
          <w:szCs w:val="32"/>
          <w:lang w:val="en-US" w:eastAsia="zh-CN" w:bidi="ar"/>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档案不得外借，</w:t>
      </w:r>
      <w:r>
        <w:rPr>
          <w:rFonts w:hint="eastAsia" w:ascii="仿宋_GB2312" w:hAnsi="仿宋_GB2312" w:eastAsia="仿宋_GB2312" w:cs="仿宋_GB2312"/>
          <w:sz w:val="32"/>
          <w:szCs w:val="32"/>
          <w:lang w:eastAsia="zh-CN"/>
        </w:rPr>
        <w:t>外单位人员因公需查阅行政审批服务档案时，</w:t>
      </w:r>
      <w:r>
        <w:rPr>
          <w:rFonts w:ascii="仿宋_GB2312" w:hAnsi="宋体" w:eastAsia="仿宋_GB2312" w:cs="仿宋_GB2312"/>
          <w:i w:val="0"/>
          <w:caps w:val="0"/>
          <w:color w:val="000000"/>
          <w:spacing w:val="0"/>
          <w:sz w:val="32"/>
          <w:szCs w:val="32"/>
          <w:shd w:val="clear" w:fill="FFFFFF"/>
        </w:rPr>
        <w:t>应持单位有效证明文件，经主管领导批准后方可查阅，但不得将档案带离档案室。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Style w:val="5"/>
          <w:rFonts w:hint="eastAsia" w:ascii="楷体_GB2312" w:hAnsi="楷体_GB2312" w:eastAsia="楷体_GB2312" w:cs="楷体_GB2312"/>
          <w:b w:val="0"/>
          <w:bCs/>
          <w:kern w:val="0"/>
          <w:sz w:val="32"/>
          <w:szCs w:val="32"/>
          <w:lang w:val="en-US" w:eastAsia="zh-CN" w:bidi="ar"/>
        </w:rPr>
        <w:t>第二十一条</w:t>
      </w:r>
      <w:r>
        <w:rPr>
          <w:rFonts w:hint="eastAsia" w:ascii="仿宋_GB2312" w:hAnsi="仿宋_GB2312" w:eastAsia="仿宋_GB2312" w:cs="仿宋_GB2312"/>
          <w:sz w:val="32"/>
          <w:szCs w:val="32"/>
          <w:lang w:val="en-US" w:eastAsia="zh-CN"/>
        </w:rPr>
        <w:t xml:space="preserve">  因审批业务争议调取档案的，档案内容由审批科室负责解释或处理。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服务档案</w:t>
      </w:r>
      <w:r>
        <w:rPr>
          <w:rFonts w:hint="eastAsia" w:ascii="仿宋_GB2312" w:hAnsi="仿宋_GB2312" w:eastAsia="仿宋_GB2312" w:cs="仿宋_GB2312"/>
          <w:sz w:val="32"/>
          <w:szCs w:val="32"/>
        </w:rPr>
        <w:t>保存期限应符合国家相关部委</w:t>
      </w:r>
      <w:r>
        <w:rPr>
          <w:rFonts w:hint="eastAsia" w:ascii="仿宋_GB2312" w:hAnsi="仿宋_GB2312" w:eastAsia="仿宋_GB2312" w:cs="仿宋_GB2312"/>
          <w:sz w:val="32"/>
          <w:szCs w:val="32"/>
          <w:lang w:eastAsia="zh-CN"/>
        </w:rPr>
        <w:t>及档案管理有关标准和要求</w:t>
      </w:r>
      <w:r>
        <w:rPr>
          <w:rFonts w:hint="eastAsia" w:ascii="仿宋_GB2312" w:hAnsi="仿宋_GB2312" w:eastAsia="仿宋_GB2312" w:cs="仿宋_GB2312"/>
          <w:sz w:val="32"/>
          <w:szCs w:val="32"/>
        </w:rPr>
        <w:t>的规定；尚未出台相关规定的，应根据行政审批事项的性质确定</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保存期限。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5"/>
          <w:rFonts w:hint="eastAsia" w:ascii="楷体_GB2312" w:hAnsi="楷体_GB2312" w:eastAsia="楷体_GB2312" w:cs="楷体_GB2312"/>
          <w:b w:val="0"/>
          <w:bCs/>
          <w:kern w:val="0"/>
          <w:sz w:val="32"/>
          <w:szCs w:val="32"/>
          <w:lang w:val="en-US" w:eastAsia="zh-CN" w:bidi="ar"/>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国家相关部委对行政审批</w:t>
      </w:r>
      <w:r>
        <w:rPr>
          <w:rFonts w:hint="eastAsia" w:ascii="仿宋_GB2312" w:hAnsi="仿宋_GB2312" w:eastAsia="仿宋_GB2312" w:cs="仿宋_GB2312"/>
          <w:sz w:val="32"/>
          <w:szCs w:val="32"/>
          <w:lang w:eastAsia="zh-CN"/>
        </w:rPr>
        <w:t>档案</w:t>
      </w:r>
      <w:r>
        <w:rPr>
          <w:rFonts w:hint="eastAsia" w:ascii="仿宋_GB2312" w:hAnsi="仿宋_GB2312" w:eastAsia="仿宋_GB2312" w:cs="仿宋_GB2312"/>
          <w:sz w:val="32"/>
          <w:szCs w:val="32"/>
        </w:rPr>
        <w:t>立卷归档有特殊要求的，从其规定。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Style w:val="5"/>
          <w:rFonts w:hint="eastAsia" w:ascii="楷体_GB2312" w:hAnsi="楷体_GB2312" w:eastAsia="楷体_GB2312" w:cs="楷体_GB2312"/>
          <w:b w:val="0"/>
          <w:bCs/>
          <w:kern w:val="0"/>
          <w:sz w:val="32"/>
          <w:szCs w:val="32"/>
          <w:lang w:val="en-US" w:eastAsia="zh-CN" w:bidi="ar"/>
        </w:rPr>
        <w:t xml:space="preserve">第二十四条  </w:t>
      </w:r>
      <w:r>
        <w:rPr>
          <w:rFonts w:hint="eastAsia" w:ascii="仿宋_GB2312" w:hAnsi="仿宋_GB2312" w:eastAsia="仿宋_GB2312" w:cs="仿宋_GB2312"/>
          <w:sz w:val="32"/>
          <w:szCs w:val="32"/>
          <w:lang w:val="en-US" w:eastAsia="zh-CN"/>
        </w:rPr>
        <w:t>本办法自发布之日起施行，原《聊城市行政审批服务局行政审批服务档案立卷归档管理办法》（聊行审字〔2019〕3号）自本办法发布之日起废止。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卷内</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备考表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3.档案交接单</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4.档案调用记录表</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5.行政审批服务事项目录号</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lang w:val="en-US" w:eastAsia="zh-CN"/>
        </w:rPr>
      </w:pPr>
    </w:p>
    <w:tbl>
      <w:tblPr>
        <w:tblStyle w:val="2"/>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3"/>
        <w:gridCol w:w="960"/>
        <w:gridCol w:w="4455"/>
        <w:gridCol w:w="990"/>
        <w:gridCol w:w="100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6" w:hRule="atLeast"/>
          <w:jc w:val="center"/>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themeColor="text1"/>
                <w14:textFill>
                  <w14:solidFill>
                    <w14:schemeClr w14:val="tx1"/>
                  </w14:solidFill>
                </w14:textFill>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卷  内  目  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责任者</w:t>
            </w: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资 料 名 称</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形成日期</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页号</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例：</w:t>
            </w:r>
          </w:p>
          <w:p>
            <w:pPr>
              <w:keepNext w:val="0"/>
              <w:keepLines w:val="0"/>
              <w:widowControl/>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申请人</w:t>
            </w: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例：</w:t>
            </w:r>
          </w:p>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关于***********的申请</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例：</w:t>
            </w:r>
          </w:p>
          <w:p>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20200101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例：</w:t>
            </w:r>
          </w:p>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例：</w:t>
            </w:r>
          </w:p>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eastAsia="zh-CN"/>
              </w:rPr>
              <w:t>审批局</w:t>
            </w: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例：</w:t>
            </w:r>
          </w:p>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审批流转表</w:t>
            </w: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例：</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20200205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例：</w:t>
            </w:r>
          </w:p>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4</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exac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4455"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99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简体" w:hAnsi="方正黑体简体" w:eastAsia="方正黑体简体" w:cs="方正黑体简体"/>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color w:val="000000" w:themeColor="text1"/>
          <w14:textFill>
            <w14:solidFill>
              <w14:schemeClr w14:val="tx1"/>
            </w14:solidFill>
          </w14:textFill>
        </w:rPr>
      </w:pPr>
    </w:p>
    <w:tbl>
      <w:tblPr>
        <w:tblStyle w:val="3"/>
        <w:tblpPr w:leftFromText="180" w:rightFromText="180" w:vertAnchor="text" w:tblpXSpec="center" w:tblpY="71"/>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5" w:hRule="atLeast"/>
          <w:jc w:val="center"/>
        </w:trPr>
        <w:tc>
          <w:tcPr>
            <w:tcW w:w="9240" w:type="dxa"/>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备  考  表</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盒内文件情况说明：</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0" w:firstLineChars="15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立卷人：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审核人：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u w:val="none"/>
                <w:lang w:val="en-US" w:eastAsia="zh-CN"/>
              </w:rPr>
              <w:t xml:space="preserve">                             立卷时间：  年    月    日</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档案交接单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i w:val="0"/>
          <w:color w:val="000000"/>
          <w:kern w:val="0"/>
          <w:sz w:val="21"/>
          <w:szCs w:val="21"/>
          <w:u w:val="none"/>
          <w:lang w:val="en-US" w:eastAsia="zh-CN" w:bidi="ar"/>
        </w:rPr>
      </w:pPr>
    </w:p>
    <w:tbl>
      <w:tblPr>
        <w:tblStyle w:val="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26"/>
        <w:gridCol w:w="1150"/>
        <w:gridCol w:w="1196"/>
        <w:gridCol w:w="1473"/>
        <w:gridCol w:w="1134"/>
        <w:gridCol w:w="923"/>
        <w:gridCol w:w="104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81" w:hRule="atLeas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15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交接日期</w:t>
            </w:r>
          </w:p>
        </w:tc>
        <w:tc>
          <w:tcPr>
            <w:tcW w:w="1196"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审批科室</w:t>
            </w:r>
          </w:p>
        </w:tc>
        <w:tc>
          <w:tcPr>
            <w:tcW w:w="147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FF0000"/>
                <w:sz w:val="22"/>
                <w:szCs w:val="22"/>
                <w:u w:val="none"/>
              </w:rPr>
            </w:pPr>
            <w:r>
              <w:rPr>
                <w:rFonts w:hint="eastAsia" w:ascii="宋体" w:hAnsi="宋体" w:eastAsia="宋体" w:cs="宋体"/>
                <w:b w:val="0"/>
                <w:bCs/>
                <w:i w:val="0"/>
                <w:color w:val="000000" w:themeColor="text1"/>
                <w:kern w:val="0"/>
                <w:sz w:val="22"/>
                <w:szCs w:val="22"/>
                <w:u w:val="none"/>
                <w:lang w:val="en-US" w:eastAsia="zh-CN" w:bidi="ar"/>
                <w14:textFill>
                  <w14:solidFill>
                    <w14:schemeClr w14:val="tx1"/>
                  </w14:solidFill>
                </w14:textFill>
              </w:rPr>
              <w:t>事项名称</w:t>
            </w:r>
          </w:p>
        </w:tc>
        <w:tc>
          <w:tcPr>
            <w:tcW w:w="113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档案编号</w:t>
            </w:r>
          </w:p>
        </w:tc>
        <w:tc>
          <w:tcPr>
            <w:tcW w:w="923"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材料数量（页）</w:t>
            </w:r>
          </w:p>
        </w:tc>
        <w:tc>
          <w:tcPr>
            <w:tcW w:w="104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交接人</w:t>
            </w:r>
          </w:p>
        </w:tc>
        <w:tc>
          <w:tcPr>
            <w:tcW w:w="99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接收人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exact"/>
          <w:jc w:val="center"/>
        </w:trPr>
        <w:tc>
          <w:tcPr>
            <w:tcW w:w="62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0" w:type="dxa"/>
            <w:shd w:val="clear" w:color="auto" w:fill="auto"/>
            <w:vAlign w:val="center"/>
          </w:tcPr>
          <w:p>
            <w:pPr>
              <w:jc w:val="both"/>
              <w:rPr>
                <w:rFonts w:hint="eastAsia" w:ascii="宋体" w:hAnsi="宋体" w:eastAsia="宋体" w:cs="宋体"/>
                <w:i w:val="0"/>
                <w:color w:val="000000"/>
                <w:sz w:val="22"/>
                <w:szCs w:val="22"/>
                <w:u w:val="none"/>
              </w:rPr>
            </w:pPr>
          </w:p>
        </w:tc>
        <w:tc>
          <w:tcPr>
            <w:tcW w:w="1196" w:type="dxa"/>
            <w:shd w:val="clear" w:color="auto" w:fill="auto"/>
            <w:vAlign w:val="center"/>
          </w:tcPr>
          <w:p>
            <w:pPr>
              <w:jc w:val="both"/>
              <w:rPr>
                <w:rFonts w:hint="eastAsia" w:ascii="宋体" w:hAnsi="宋体" w:eastAsia="宋体" w:cs="宋体"/>
                <w:i w:val="0"/>
                <w:color w:val="000000"/>
                <w:sz w:val="22"/>
                <w:szCs w:val="22"/>
                <w:u w:val="none"/>
              </w:rPr>
            </w:pPr>
          </w:p>
        </w:tc>
        <w:tc>
          <w:tcPr>
            <w:tcW w:w="1473" w:type="dxa"/>
            <w:shd w:val="clear" w:color="auto" w:fill="auto"/>
            <w:vAlign w:val="center"/>
          </w:tcPr>
          <w:p>
            <w:pPr>
              <w:jc w:val="both"/>
              <w:rPr>
                <w:rFonts w:hint="eastAsia" w:ascii="宋体" w:hAnsi="宋体" w:eastAsia="宋体" w:cs="宋体"/>
                <w:i w:val="0"/>
                <w:color w:val="000000"/>
                <w:sz w:val="22"/>
                <w:szCs w:val="22"/>
                <w:u w:val="none"/>
              </w:rPr>
            </w:pPr>
          </w:p>
        </w:tc>
        <w:tc>
          <w:tcPr>
            <w:tcW w:w="1134" w:type="dxa"/>
            <w:shd w:val="clear" w:color="auto" w:fill="auto"/>
            <w:vAlign w:val="center"/>
          </w:tcPr>
          <w:p>
            <w:pPr>
              <w:jc w:val="both"/>
              <w:rPr>
                <w:rFonts w:hint="eastAsia" w:ascii="宋体" w:hAnsi="宋体" w:eastAsia="宋体" w:cs="宋体"/>
                <w:i w:val="0"/>
                <w:color w:val="000000"/>
                <w:sz w:val="22"/>
                <w:szCs w:val="22"/>
                <w:u w:val="none"/>
              </w:rPr>
            </w:pPr>
          </w:p>
        </w:tc>
        <w:tc>
          <w:tcPr>
            <w:tcW w:w="923" w:type="dxa"/>
            <w:shd w:val="clear" w:color="auto" w:fill="auto"/>
            <w:vAlign w:val="center"/>
          </w:tcPr>
          <w:p>
            <w:pPr>
              <w:jc w:val="both"/>
              <w:rPr>
                <w:rFonts w:hint="eastAsia" w:ascii="宋体" w:hAnsi="宋体" w:eastAsia="宋体" w:cs="宋体"/>
                <w:i w:val="0"/>
                <w:color w:val="000000"/>
                <w:sz w:val="22"/>
                <w:szCs w:val="22"/>
                <w:u w:val="none"/>
              </w:rPr>
            </w:pPr>
          </w:p>
        </w:tc>
        <w:tc>
          <w:tcPr>
            <w:tcW w:w="1044" w:type="dxa"/>
            <w:shd w:val="clear" w:color="auto" w:fill="auto"/>
            <w:vAlign w:val="center"/>
          </w:tcPr>
          <w:p>
            <w:pPr>
              <w:jc w:val="both"/>
              <w:rPr>
                <w:rFonts w:hint="eastAsia" w:ascii="宋体" w:hAnsi="宋体" w:eastAsia="宋体" w:cs="宋体"/>
                <w:i w:val="0"/>
                <w:color w:val="000000"/>
                <w:sz w:val="22"/>
                <w:szCs w:val="22"/>
                <w:u w:val="none"/>
              </w:rPr>
            </w:pPr>
          </w:p>
        </w:tc>
        <w:tc>
          <w:tcPr>
            <w:tcW w:w="994" w:type="dxa"/>
            <w:shd w:val="clear" w:color="auto" w:fill="auto"/>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档案调用记录表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tbl>
      <w:tblPr>
        <w:tblStyle w:val="2"/>
        <w:tblW w:w="8940" w:type="dxa"/>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25"/>
        <w:gridCol w:w="1436"/>
        <w:gridCol w:w="1166"/>
        <w:gridCol w:w="1357"/>
        <w:gridCol w:w="1150"/>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8"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调取单位（科室）</w:t>
            </w:r>
          </w:p>
        </w:tc>
        <w:tc>
          <w:tcPr>
            <w:tcW w:w="67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8"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调取人</w:t>
            </w:r>
          </w:p>
        </w:tc>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1"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调取原因（用途）</w:t>
            </w:r>
          </w:p>
        </w:tc>
        <w:tc>
          <w:tcPr>
            <w:tcW w:w="67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是否需要复制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复制页数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复制份数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22"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复制内容</w:t>
            </w:r>
          </w:p>
        </w:tc>
        <w:tc>
          <w:tcPr>
            <w:tcW w:w="67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r>
        <w:br w:type="page"/>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p>
    <w:tbl>
      <w:tblPr>
        <w:tblStyle w:val="2"/>
        <w:tblW w:w="9690" w:type="dxa"/>
        <w:tblInd w:w="-594" w:type="dxa"/>
        <w:shd w:val="clear" w:color="auto" w:fill="auto"/>
        <w:tblLayout w:type="autofit"/>
        <w:tblCellMar>
          <w:top w:w="0" w:type="dxa"/>
          <w:left w:w="0" w:type="dxa"/>
          <w:bottom w:w="0" w:type="dxa"/>
          <w:right w:w="0" w:type="dxa"/>
        </w:tblCellMar>
      </w:tblPr>
      <w:tblGrid>
        <w:gridCol w:w="524"/>
        <w:gridCol w:w="1435"/>
        <w:gridCol w:w="735"/>
        <w:gridCol w:w="989"/>
        <w:gridCol w:w="779"/>
        <w:gridCol w:w="4179"/>
        <w:gridCol w:w="1049"/>
      </w:tblGrid>
      <w:tr>
        <w:tblPrEx>
          <w:shd w:val="clear" w:color="auto" w:fill="auto"/>
          <w:tblCellMar>
            <w:top w:w="0" w:type="dxa"/>
            <w:left w:w="0" w:type="dxa"/>
            <w:bottom w:w="0" w:type="dxa"/>
            <w:right w:w="0" w:type="dxa"/>
          </w:tblCellMar>
        </w:tblPrEx>
        <w:trPr>
          <w:trHeight w:val="620" w:hRule="atLeast"/>
        </w:trPr>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行政审批服务事项目录号</w:t>
            </w:r>
          </w:p>
        </w:tc>
      </w:tr>
      <w:tr>
        <w:tblPrEx>
          <w:shd w:val="clear" w:color="auto" w:fill="auto"/>
          <w:tblCellMar>
            <w:top w:w="0" w:type="dxa"/>
            <w:left w:w="0" w:type="dxa"/>
            <w:bottom w:w="0" w:type="dxa"/>
            <w:right w:w="0" w:type="dxa"/>
          </w:tblCellMar>
        </w:tblPrEx>
        <w:trPr>
          <w:trHeight w:val="6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  室</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档案科室代码</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档案事项类型代码</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档案事项代码</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事项名称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事项类型</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企业投资项目核准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依法必须进行招标的相关工程建设项目招标范围、招标方式、招标组织形式核准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企业技术改造投资项目核准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建设项目环境保护设施竣工验收</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危险废物经营许可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建设项目环境影响评价审批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在江河、湖泊新建、改建、扩建排污口的审批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夜间产生环境噪声污染的连续建筑施工作业许可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贮存危险废物延长期限许可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拆除或者闲置污染防治设施审批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废弃电器电子产品处理资格许可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建设工程抗震设防要求确定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地震观测环境保护范围内建设工程项目审批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取水许可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水利基建项目初步设计文件审批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水工程建设规划同意书审核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河道采砂许可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不同行政区域边界水工程批准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河道管理范围内建设项目工程建设方案审查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非防洪建设项目洪水影响评价报告审批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占用农业灌溉水源、灌排工程设施审批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蓄滞洪区避洪设施建设审批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生产建设项目水土保持方案审批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洪水影响评价（类）审批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新建油气管道不满足选线条件的管道保护方案的审批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建设用地规划许可证</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临时用地审批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临时建设审批（用地）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建设项目用地预审</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投资项目审批科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TZXM</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选址意见书</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公司（企业）登记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广告发布登记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成品油零售经营许可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工业产品生产许可（含食品相关产品生产许可，省级发证）</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计量标准器具核准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计量器具型式批准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计量授权</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检验检测机构资质认定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特种设备生产（包括设计、制造、安装、改造、修理）许可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充装许可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特种设备检验检测机构核准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特种设备作业人员考核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CJ</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企业名称争议裁决</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行政裁决</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QR</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股权出质登记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特种设备使用登记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市场准入审批科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公司（企业）有关事项的备案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医疗机构设置审批及执业登记和校验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护士执业注册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单采血浆站设置审批及许可证核发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母婴保健技术服务执业许可、校验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母婴保健服务人员资格认定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放射源诊疗技术和医用辐射机构许可、校验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麻醉药品和第一类精神药品购用许可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医疗广告审查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除利用新材料、新工艺和新化学物质生产的涉及饮用水卫生安全的产品卫生许可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饮用水供水单位卫生许可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消毒产品生产企业卫生许可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医疗机构放射性职业病危害建设项目预评价报告审核、竣工验收</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医师执业注册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SCZR</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从事第二类精神药品零售业务审批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医疗用毒性药品经营审批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第三类医疗器械经营许可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麻醉药品和精神药品邮寄证明核发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麻醉药品和第一类精神药品运输证明核发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4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执业药师注册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4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99"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药品、医疗器械、化妆品生产经营许可和批准证明文件的撤销、缴销、收回、撤回</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药品、医疗器械、化妆品生产经营许可和批准证明文件的补发和注销</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第二类医疗器械经营备案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食药卫健审批科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SYWJ</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医疗器械网络销售备案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种畜禽生产经营许可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生猪屠宰许可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单池容积五百立方米以上的农村可再生能源沼气工程及日供气量五百立方米以上的农村可再生能源秸秆气化工程设计方案核准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农药经营许可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采集农业主管部门管理的国家一级保护野生植物审批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涉农事务审批科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SNSW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粮食收购资格认定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实施学历教育、学前教育、自学考试助学及其他文化教育的民办学校筹设、设立、分立、合并、变更、终止审批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开办外籍人员子女学校审批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外国人来华工作许可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社会团体成立、变更、注销登记和章程核准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基金会设立、变更、注销登记和章程核准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民办非企业单位成立、变更、注销登记和章程核准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慈善组织公开募捐资格审批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新建和扩建经营性公墓、农村公益性墓地审批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经营性人力资源服务机构从事职业中介活动许可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外国人来华工作许可（C类）</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企业实行不定时工作制和综合计算工时工作制审批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技工学校审批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民办职业技能培训机构审批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直销企业服务网点方案审查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对外劳务合作经营资格核准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国有文物保护单位和其他不可移动文物改变用途审批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对尚未被认定为文物的监管物品审核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文物商店设立许可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建设工程文物保护许可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旅行社设立许可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利用不可移动文物举办展览、展销、演出等活动的许可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设置卫星电视广播地面接收设施审批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广播电视视频点播业务审批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有线电视安装设计审批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经营高危险性体育项目许可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内部资料性出版物准印审批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印刷企业设立</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华侨回国定居审批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QR</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慈善组织认定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社会团体负责人、印章及银行账户备案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基金会组织机构代码、印章式样、银行账号以及税务登记证复印件的备案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民办非企业单位的印章及银行账户备案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主持将慈善组织清算后的剩余财产转给宗旨相同或者相近的慈善组织并向社会公告</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慈善组织变更捐赠财产用途备案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宗教活动场所的印章备案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旅行社变更名称、经营场所、法定代表人或者终止经营的备案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中等职业学校开设专业审核备案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体育类民办非企业单位设立、变更、注销登记前的审查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社会事务审批科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SHSW</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GG</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社会组织登记档案查询服务</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公路建设项目施工许可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涉路工程建设许可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在公路用地范围内设置非公路标志许可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公路用地范围内护路林更新采伐许可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超限运输车辆行驶公路许可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道路客运（班车客运、包车客运、旅游客运）及班线经营许可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城市公共汽（电）车客运经营（含线路经营）许可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巡游出租汽车客运经营许可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网络预约出租汽车经营许可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道路危险货物运输许可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放射性物品道路运输许可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国内水路运输业务经营许可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内河沉船沉物打捞作业审批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通航水域岸线安全使用许可和水上水下活动许可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QR</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营运客车类型等级评定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行政确认</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道路运输企业设立分公司的备案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JTYS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道路运输和道路运输相关业务经营者变更法定代表人、名称、地址等事项的备案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房地产开发企业资质核定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建筑业企业资质许可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建筑工程施工许可证核发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商品房预售许可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学校、幼儿园、医院、养老院等建筑工程抗震设防专项审查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结合民用建筑修建防空地下室审批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防空地下室易地建设审批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开发利用人防工程和设施审批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单建人防工程建设许可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人防警报设施拆除审批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单建人防工程五十米范围内采石、取土、爆破、挖洞作业审批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人防工程拆除报废审批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建设工程规划许可证</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乡村建设规划许可证</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临时建设审批（工程）</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开采矿产资源审批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临时占用林地审批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城市绿化工程设计方案审批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房地产估价机构备案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房地产开发项目竣工综合验收备案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办理施工安全监督手续</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办理工程质量监督手续</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城市地下空间开发利用建设项目兼顾人防要求许可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新建民用建筑项目减免防空地下室易地建设费审查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人防工程竣工验收备案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GCJS</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人防工程质量监督登记</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城市供水经营许可证核发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城镇污水排入排水管网许可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污水处理企业经营许可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市政设施建设类审批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工程建设涉及城市绿地、树木审批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城市大型户外广告设置审核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因工程建设需要拆除、改动、迁移供水、排水与污水处理设施审核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燃气经营许可证核发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燃气供应许可证核发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供热经营许可证核发</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燃气经营者改动燃气设施审核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新建、改建、扩建燃气工程项目审查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由于工程施工、设备维修等原因确需停止供水的审批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供水企业停业歇业许可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燃气经营者停业、歇业审批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供热企业停业许可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在街道两侧和公共场所临时堆放物料、搭建非永久性建筑物、构筑物或其他设施审核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在城市建筑物、设施上张挂、张贴宣传品审批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关闭、闲置、拆除城市环卫设施许可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城市建筑垃圾处置核准</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从事城市生活垃圾经营性清扫、收集、运输、处理服务审批</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特殊车辆在城市道路上行驶审核</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燃气工程竣工验收备案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城市管理审批科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CSGL</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《燃气经营许可证》年检</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非煤矿矿山企业安全生产许可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危险化学品生产企业安全生产许可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新建、改建、扩建生产、储存危险化学品的建设项目安全条件审查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非煤矿矿山、金属冶炼建设项目和生产、储存危险化学品、烟花爆竹的建设项目安全设施设计审查</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危险化学品经营许可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危险化学品安全使用许可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特种作业人员操作资格认定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烟花爆竹生产企业安全生产许可</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r>
      <w:tr>
        <w:tblPrEx>
          <w:shd w:val="clear" w:color="auto" w:fill="auto"/>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生产经营单位生产安全事故应急预案备案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生产、经营第二类、第三类非药品类易制毒化学品备案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公益性民间组织救灾捐赠款分配、使用方案的备案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r>
        <w:tblPrEx>
          <w:tblCellMar>
            <w:top w:w="0" w:type="dxa"/>
            <w:left w:w="0" w:type="dxa"/>
            <w:bottom w:w="0" w:type="dxa"/>
            <w:right w:w="0" w:type="dxa"/>
          </w:tblCellMar>
        </w:tblPrEx>
        <w:trPr>
          <w:trHeight w:val="5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安全生产审批科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AQSC</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w:t>
            </w:r>
          </w:p>
        </w:tc>
        <w:tc>
          <w:tcPr>
            <w:tcW w:w="4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义演、义赛、义卖等大型救灾捐赠和募捐活动的备案</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其他权力</w:t>
            </w: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default" w:ascii="仿宋_GB2312" w:hAnsi="仿宋_GB2312" w:eastAsia="仿宋_GB2312" w:cs="仿宋_GB2312"/>
          <w:sz w:val="32"/>
          <w:szCs w:val="32"/>
          <w:lang w:val="en-US" w:eastAsia="zh-CN"/>
        </w:rPr>
      </w:pPr>
    </w:p>
    <w:sectPr>
      <w:pgSz w:w="11906" w:h="16838"/>
      <w:pgMar w:top="181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jRkZWFlNzEyZTFjZGJhMjhlODQ1YTJkMzlkMzIifQ=="/>
  </w:docVars>
  <w:rsids>
    <w:rsidRoot w:val="62890DFE"/>
    <w:rsid w:val="04901841"/>
    <w:rsid w:val="0E2E5EC6"/>
    <w:rsid w:val="353E0209"/>
    <w:rsid w:val="38350643"/>
    <w:rsid w:val="5E8F530F"/>
    <w:rsid w:val="62890DFE"/>
    <w:rsid w:val="69F61883"/>
    <w:rsid w:val="70F00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9203</Words>
  <Characters>10552</Characters>
  <Lines>0</Lines>
  <Paragraphs>0</Paragraphs>
  <TotalTime>14</TotalTime>
  <ScaleCrop>false</ScaleCrop>
  <LinksUpToDate>false</LinksUpToDate>
  <CharactersWithSpaces>10766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2020-04-20T06:40:00Z</dcterms:created>
  <dc:creator> ┌* 媛` </dc:creator>
  <cp:lastModifiedBy>付凌晨</cp:lastModifiedBy>
  <cp:lastPrinted>2020-05-07T00:54:00Z</cp:lastPrinted>
  <dcterms:modified xsi:type="dcterms:W3CDTF">2023-06-28T03:40:36Z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473A14DE66594551A1CE43967BF5A615</vt:lpwstr>
  </property>
</Properties>
</file>